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02F" w:rsidRPr="0061002F" w:rsidRDefault="0061002F" w:rsidP="0061002F">
      <w:pPr>
        <w:spacing w:after="240" w:line="240" w:lineRule="auto"/>
        <w:textAlignment w:val="baseline"/>
        <w:outlineLvl w:val="0"/>
        <w:rPr>
          <w:rFonts w:ascii="Arial" w:eastAsia="Times New Roman" w:hAnsi="Arial" w:cs="Arial"/>
          <w:b/>
          <w:bCs/>
          <w:color w:val="3B4256"/>
          <w:kern w:val="36"/>
          <w:sz w:val="48"/>
          <w:szCs w:val="48"/>
          <w:lang w:eastAsia="ru-RU"/>
        </w:rPr>
      </w:pPr>
      <w:r w:rsidRPr="0061002F">
        <w:rPr>
          <w:rFonts w:ascii="Arial" w:eastAsia="Times New Roman" w:hAnsi="Arial" w:cs="Arial"/>
          <w:b/>
          <w:bCs/>
          <w:color w:val="3B4256"/>
          <w:kern w:val="36"/>
          <w:sz w:val="48"/>
          <w:szCs w:val="48"/>
          <w:lang w:eastAsia="ru-RU"/>
        </w:rPr>
        <w:t>СНиП 30-02-97 Планировка и застройка территорий садоводческих (дачных) объединений граждан, здания и сооружения</w:t>
      </w:r>
    </w:p>
    <w:p w:rsidR="0061002F" w:rsidRPr="0061002F" w:rsidRDefault="0061002F" w:rsidP="0061002F">
      <w:pPr>
        <w:spacing w:after="300" w:line="383" w:lineRule="atLeast"/>
        <w:jc w:val="righ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jc w:val="righ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30-02-97*</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СТРОИТЕЛЬНЫЕ НОРМЫ И ПРАВИЛА РОССИЙСКОЙ ФЕДЕРАЦИИ</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ПЛАНИРОВКА И ЗАСТРОЙКА ТЕРРИТОРИЙ САДОВОДЧЕСКИХ (ДАЧНЫХ)</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val="en-US" w:eastAsia="ru-RU"/>
        </w:rPr>
      </w:pPr>
      <w:r w:rsidRPr="0061002F">
        <w:rPr>
          <w:rFonts w:ascii="inherit" w:eastAsia="Times New Roman" w:hAnsi="inherit" w:cs="Arial"/>
          <w:b/>
          <w:bCs/>
          <w:color w:val="3B4256"/>
          <w:sz w:val="26"/>
          <w:szCs w:val="26"/>
          <w:bdr w:val="none" w:sz="0" w:space="0" w:color="auto" w:frame="1"/>
          <w:lang w:eastAsia="ru-RU"/>
        </w:rPr>
        <w:t>ОБЪЕДИНЕНИЙ</w:t>
      </w:r>
      <w:r w:rsidRPr="0061002F">
        <w:rPr>
          <w:rFonts w:ascii="inherit" w:eastAsia="Times New Roman" w:hAnsi="inherit" w:cs="Arial"/>
          <w:b/>
          <w:bCs/>
          <w:color w:val="3B4256"/>
          <w:sz w:val="26"/>
          <w:szCs w:val="26"/>
          <w:bdr w:val="none" w:sz="0" w:space="0" w:color="auto" w:frame="1"/>
          <w:lang w:val="en-US" w:eastAsia="ru-RU"/>
        </w:rPr>
        <w:t xml:space="preserve"> </w:t>
      </w:r>
      <w:r w:rsidRPr="0061002F">
        <w:rPr>
          <w:rFonts w:ascii="inherit" w:eastAsia="Times New Roman" w:hAnsi="inherit" w:cs="Arial"/>
          <w:b/>
          <w:bCs/>
          <w:color w:val="3B4256"/>
          <w:sz w:val="26"/>
          <w:szCs w:val="26"/>
          <w:bdr w:val="none" w:sz="0" w:space="0" w:color="auto" w:frame="1"/>
          <w:lang w:eastAsia="ru-RU"/>
        </w:rPr>
        <w:t>ГРАЖДАН</w:t>
      </w:r>
      <w:r w:rsidRPr="0061002F">
        <w:rPr>
          <w:rFonts w:ascii="inherit" w:eastAsia="Times New Roman" w:hAnsi="inherit" w:cs="Arial"/>
          <w:b/>
          <w:bCs/>
          <w:color w:val="3B4256"/>
          <w:sz w:val="26"/>
          <w:szCs w:val="26"/>
          <w:bdr w:val="none" w:sz="0" w:space="0" w:color="auto" w:frame="1"/>
          <w:lang w:val="en-US" w:eastAsia="ru-RU"/>
        </w:rPr>
        <w:t xml:space="preserve">, </w:t>
      </w:r>
      <w:r w:rsidRPr="0061002F">
        <w:rPr>
          <w:rFonts w:ascii="inherit" w:eastAsia="Times New Roman" w:hAnsi="inherit" w:cs="Arial"/>
          <w:b/>
          <w:bCs/>
          <w:color w:val="3B4256"/>
          <w:sz w:val="26"/>
          <w:szCs w:val="26"/>
          <w:bdr w:val="none" w:sz="0" w:space="0" w:color="auto" w:frame="1"/>
          <w:lang w:eastAsia="ru-RU"/>
        </w:rPr>
        <w:t>ЗДАНИЯ</w:t>
      </w:r>
      <w:r w:rsidRPr="0061002F">
        <w:rPr>
          <w:rFonts w:ascii="inherit" w:eastAsia="Times New Roman" w:hAnsi="inherit" w:cs="Arial"/>
          <w:b/>
          <w:bCs/>
          <w:color w:val="3B4256"/>
          <w:sz w:val="26"/>
          <w:szCs w:val="26"/>
          <w:bdr w:val="none" w:sz="0" w:space="0" w:color="auto" w:frame="1"/>
          <w:lang w:val="en-US" w:eastAsia="ru-RU"/>
        </w:rPr>
        <w:t xml:space="preserve"> </w:t>
      </w:r>
      <w:r w:rsidRPr="0061002F">
        <w:rPr>
          <w:rFonts w:ascii="inherit" w:eastAsia="Times New Roman" w:hAnsi="inherit" w:cs="Arial"/>
          <w:b/>
          <w:bCs/>
          <w:color w:val="3B4256"/>
          <w:sz w:val="26"/>
          <w:szCs w:val="26"/>
          <w:bdr w:val="none" w:sz="0" w:space="0" w:color="auto" w:frame="1"/>
          <w:lang w:eastAsia="ru-RU"/>
        </w:rPr>
        <w:t>И</w:t>
      </w:r>
      <w:r w:rsidRPr="0061002F">
        <w:rPr>
          <w:rFonts w:ascii="inherit" w:eastAsia="Times New Roman" w:hAnsi="inherit" w:cs="Arial"/>
          <w:b/>
          <w:bCs/>
          <w:color w:val="3B4256"/>
          <w:sz w:val="26"/>
          <w:szCs w:val="26"/>
          <w:bdr w:val="none" w:sz="0" w:space="0" w:color="auto" w:frame="1"/>
          <w:lang w:val="en-US" w:eastAsia="ru-RU"/>
        </w:rPr>
        <w:t xml:space="preserve"> </w:t>
      </w:r>
      <w:r w:rsidRPr="0061002F">
        <w:rPr>
          <w:rFonts w:ascii="inherit" w:eastAsia="Times New Roman" w:hAnsi="inherit" w:cs="Arial"/>
          <w:b/>
          <w:bCs/>
          <w:color w:val="3B4256"/>
          <w:sz w:val="26"/>
          <w:szCs w:val="26"/>
          <w:bdr w:val="none" w:sz="0" w:space="0" w:color="auto" w:frame="1"/>
          <w:lang w:eastAsia="ru-RU"/>
        </w:rPr>
        <w:t>СООРУЖЕНИЯ</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val="en-US" w:eastAsia="ru-RU"/>
        </w:rPr>
      </w:pPr>
      <w:r w:rsidRPr="0061002F">
        <w:rPr>
          <w:rFonts w:ascii="inherit" w:eastAsia="Times New Roman" w:hAnsi="inherit" w:cs="Arial"/>
          <w:b/>
          <w:bCs/>
          <w:color w:val="3B4256"/>
          <w:sz w:val="26"/>
          <w:szCs w:val="26"/>
          <w:bdr w:val="none" w:sz="0" w:space="0" w:color="auto" w:frame="1"/>
          <w:lang w:val="en-US"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val="en-US" w:eastAsia="ru-RU"/>
        </w:rPr>
      </w:pPr>
      <w:r w:rsidRPr="0061002F">
        <w:rPr>
          <w:rFonts w:ascii="inherit" w:eastAsia="Times New Roman" w:hAnsi="inherit" w:cs="Arial"/>
          <w:b/>
          <w:bCs/>
          <w:color w:val="3B4256"/>
          <w:sz w:val="26"/>
          <w:szCs w:val="26"/>
          <w:bdr w:val="none" w:sz="0" w:space="0" w:color="auto" w:frame="1"/>
          <w:lang w:val="en-US" w:eastAsia="ru-RU"/>
        </w:rPr>
        <w:t>Planing and occupation of territories of gardening (country’s) unions of citizens, buildings and erections</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___________________________________________________________</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Текст Сравнения СНиП 30-02-97*с СП 53.13330.2011 см. по ссылке.</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 Примечание изготовителя базы данных.</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___________________________________________________________</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jc w:val="righ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jc w:val="righ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jc w:val="righ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Дата введения 1998-01-01</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lastRenderedPageBreak/>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ПРЕДИСЛОВИЕ</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1 РАЗРАБОТАНЫ ЦНИИЭПграждансельстроем, Главмособлархитектуры, ЦНИИЭПжилища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ВНЕСЕНЫ ЦНИИЭПграждансельстроем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2 ПОДГОТОВЛЕНЫ К УТВЕРЖДЕНИЮ И ПРЕДСТАВЛЕНЫ Управлением градостроительства, инфраструктуры и территориального развития Государственного комитета Российской Федерации по жилищной и строительной политике</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3 ПРИНЯТЫ И ВВЕДЕНЫ в действие постановлением Госстроя России от 10 сентября 1997 г. N 18-51</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 ВЗАМЕН ВСН 43-85*</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 СНиП 30-02-97* является переизданием СНиП 30-02-97 с Изменением N 1, утвержденным постановлением Госстроя России N 17 от 12.03.2001 и введенным в действие 01.04.2001</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Разделы, пункты и таблицы, в которые внесены изменения, отмечены в настоящих строительных нормах и правилах звездочкой.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ВНЕСЕНЫ опечатки, опубликованные в Информационном бюллетене о проектной, нормативной и методической документации N 7, 2001 г.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Опечатки внесены изготовителем базы данных</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1 ОБЛАСТЬ ПРИМЕНЕНИЯ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1.1* Настоящие нормы и правила распространяются на проектирование застройки территорий садоводческих (дачных) объединений граждан (далее - садоводческое (дачное) объединение), зданий и сооружений, а также служат основой разработки территориальных строительных норм (ТСН) субъектов Российской Федерации.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2 НОРМАТИВНЫЕ ССЫЛКИ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2.1* Настоящие нормы и правила составлены с учетом требований следующих законов и нормативных документов: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 садоводческих, огороднических и дачных некоммерческих объединениях граждан. Федеральный закон N 66-ФЗ от 15.04.98</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Градостроительный кодекс Российской Федерации N 73-ФЗ от 07.05.98</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2.04.01-85*. Внутренний водопровод и канализация зданий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2.04.02-84*. Водоснабжение. Наружные сети и сооружения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2.04.03-85. Канализация. Наружные сети и сооружения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2.04.05-91*. Отопление, вентиляция и кондиционирование</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2.04.08-87*. Газоснабжение</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2.05.13-90. Нефтепродуктопроводы, прокладываемые на территории городов и других населенных пунктов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2.07.01-89*. Градостроительство. Планировка и застройка городских и сельских поселений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2.08.01-89*. Жилые здания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II-3-79*. Строительная теплотехника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3.05.04-85*. Наружные сети и сооружения водоснабжения и канализации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СНиП 21-01-97*. Пожарная безопасность зданий и сооружений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ВСН 59-88. Электрооборудование жилых и общественных зданий. Нормы проектирования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НПБ 106-95. Индивидуальные жилые дома. Противопожарные требования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ПУЭ. Правила устройства электроустановок. - 6-е изд., 1998 г., 7-е изд., главы 6, 7.1, 2000 г.</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РД 34.21.122-87. Руководящий документ. Инструкция по устройству молниезащиты зданий и сооружений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СанПиН 2.1.6.983-00. Гигиенические требования к обеспечению качества атмосферного воздуха населенных мест</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СанПиН 2.1.4.027-95. Зоны санитарной охраны источников водоснабжения и водопроводов хозяйственно-питьевого назначения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СанПиН 2.1.4.544-96. Требования к качеству воды нецентрализованного водоснабжения. Санитарная охрана источников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СанПиН 2.1.4.559-96. Питьевая вода. Гигиенические требования к качеству воды централизованных систем питьевого водоснабжения. Контроль качества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СанПиН 2.2.1/2.1.1.984-00. Санитарно-защитные зоны и санитарная классификация предприятий, сооружений и иных объектов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СанПиН N 4630-88. Санитарные правила и нормы охраны поверхностных вод от загрязнения.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3 ТЕРМИНЫ И ОПРЕДЕЛЕНИЯ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3.1 В настоящих нормах и правилах применены термины в соответствии с приложением 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4 ОБЩИЕ ПОЛОЖЕНИЯ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4.1* Организация территории садоводческого (дачного) объединения осуществляется в соответствии с утвержденным администрацией местного самоуправления проектом планировки территории садоводческого (дачного) объединения, являющимся юридическим документом, обязательным для исполнения всеми участниками освоения и застройки территории садоводческого (дачного) объединения.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Все изменения и отклонения от проекта должны быть утверждены администрацией местного самоуправления.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Проект может разрабатываться как для одной, так и для группы (массива) рядом расположенных территорий садоводческих (дачных) объединений.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xml:space="preserve">Для группы (массива) территорий садоводческих (дачных) объединений, занимающих площадь более 50 га, разрабатывается концепция </w:t>
      </w:r>
      <w:r w:rsidRPr="0061002F">
        <w:rPr>
          <w:rFonts w:ascii="Arial" w:eastAsia="Times New Roman" w:hAnsi="Arial" w:cs="Arial"/>
          <w:color w:val="3B4256"/>
          <w:sz w:val="26"/>
          <w:szCs w:val="26"/>
          <w:lang w:eastAsia="ru-RU"/>
        </w:rPr>
        <w:lastRenderedPageBreak/>
        <w:t>генерального плана, предшествующая разработке проектов планировки и застройки территорий садоводческих (дачных) объединений и содержащая основные положения по развитию:</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внешних связей с системой поселений;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транспортных коммуникаций;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социальной и инженерной инфраструктуры.</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Перечень основных документов, необходимых для разработки, согласования и утверждения проектной документации по планировке и застройке территорий садоводческих (дачных) объединений, приведен в СП 11-106*.</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4.2* При установлении границ территории садоводческого (дачного) объединения должны соблюдаться требования по охране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4.3* Размещение территорий садоводческих (дачных) объединений запрещается в санитарно-защитных зонах промышленных предприятий.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xml:space="preserve">4.4* Территорию садоводческого (дачного) объединения необходимо отделять от железных дорог любых категорий и автодорог общего </w:t>
      </w:r>
      <w:r w:rsidRPr="0061002F">
        <w:rPr>
          <w:rFonts w:ascii="Arial" w:eastAsia="Times New Roman" w:hAnsi="Arial" w:cs="Arial"/>
          <w:color w:val="3B4256"/>
          <w:sz w:val="26"/>
          <w:szCs w:val="26"/>
          <w:lang w:eastAsia="ru-RU"/>
        </w:rPr>
        <w:lastRenderedPageBreak/>
        <w:t>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4.5* Территория садоводческого (дачного) объединения должна отстоять от крайней нити нефтепродуктопровода на расстоянии, не менее указанного в СНиП 2.05.13.</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4.6* Запрещается размещение территорий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 Расстояние по горизонтали от крайних проводов высоковольтных линий (при наибольшем их отклонении) до границы территории садоводческого (дачного) объединения принимается в соответствии с Правилами устройства электроустановок (ПУЭ).</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4.7* Расстояние от застройки на территориях садоводческих (дачных) объединений до лесных массивов должно быть не менее 15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4.8*. При пересечении территории садоводческого (дачного) объединения инженерными коммуникациями надлежит предусматривать санитарно-защитные зоны в соответствии с СанПиН 2.2.1/2.1.1.984.</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4.9* Территории садоводческих (дачных) объединений в зависимости от числа земельных участков, расположенных на них, подразделяются на: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малые - от 15 до 100;</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средние - от 101 до 300;</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крупные - 301 и более участков.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5 ПЛАНИРОВКА ТЕРРИТОРИИ САДОВОДЧЕСКОГО (ДАЧНОГО) ОБЪЕДИНЕНИЯ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5.1* По границе территории садоводческого (дачного) объединения, как правило, предусматривается ограждение. Допускается не предусматривать ограждение при наличии естественных границ (река, бровка оврага и др.).</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Ограждение территории садоводческого (дачного) объединения не следует заменять рвами, канавами, земляными валами.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5.2* Территория садоводческого (дачного) объединения должна быть соединена подъездной дорогой с автомобильной дорогой общего пользования.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5.3* На территорию садоводческого (дачного) объединения с числом садовых участков до 50 следует предусматривать один въезд, более 50 - не менее двух въездов. Ширина ворот должна быть не менее 4,5 м, калитки - не менее 1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5.4*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1*, рекомендуемый - в СП 11-106*.</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Таблица 1* - Минимально необходимый состав зданий, сооружений, площадок общего пользования</w:t>
      </w:r>
    </w:p>
    <w:p w:rsidR="0061002F" w:rsidRPr="0061002F" w:rsidRDefault="0061002F" w:rsidP="0061002F">
      <w:pPr>
        <w:spacing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tbl>
      <w:tblPr>
        <w:tblW w:w="12000" w:type="dxa"/>
        <w:tblBorders>
          <w:left w:val="single" w:sz="6" w:space="0" w:color="DDE1E6"/>
        </w:tblBorders>
        <w:tblCellMar>
          <w:left w:w="0" w:type="dxa"/>
          <w:right w:w="0" w:type="dxa"/>
        </w:tblCellMar>
        <w:tblLook w:val="04A0" w:firstRow="1" w:lastRow="0" w:firstColumn="1" w:lastColumn="0" w:noHBand="0" w:noVBand="1"/>
      </w:tblPr>
      <w:tblGrid>
        <w:gridCol w:w="7595"/>
        <w:gridCol w:w="1286"/>
        <w:gridCol w:w="1599"/>
        <w:gridCol w:w="1520"/>
      </w:tblGrid>
      <w:tr w:rsidR="0061002F" w:rsidRPr="0061002F" w:rsidTr="0061002F">
        <w:tc>
          <w:tcPr>
            <w:tcW w:w="5700" w:type="dxa"/>
            <w:tcBorders>
              <w:top w:val="single" w:sz="6" w:space="0" w:color="DDE1E6"/>
              <w:left w:val="nil"/>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9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2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05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5700" w:type="dxa"/>
            <w:tcBorders>
              <w:top w:val="single" w:sz="6" w:space="0" w:color="DDE1E6"/>
              <w:left w:val="nil"/>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Объекты</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3150" w:type="dxa"/>
            <w:gridSpan w:val="3"/>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Удельные размеры земельных участков, м, на 1 садовый участок на территории садоводческих (дачных) объединений с числом участков</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5700" w:type="dxa"/>
            <w:tcBorders>
              <w:top w:val="single" w:sz="6" w:space="0" w:color="DDE1E6"/>
              <w:left w:val="nil"/>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9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15-100 (малые)</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2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101-300 (средние)</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05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301 и более (крупные)</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5700" w:type="dxa"/>
            <w:tcBorders>
              <w:top w:val="single" w:sz="6" w:space="0" w:color="DDE1E6"/>
              <w:left w:val="nil"/>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Сторожка с правлением объединения</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9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1-0,7</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2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0,7-0,5</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05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0,4-0,4</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5700" w:type="dxa"/>
            <w:tcBorders>
              <w:top w:val="single" w:sz="6" w:space="0" w:color="DDE1E6"/>
              <w:left w:val="nil"/>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Магазин смешанной торговли</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9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2-0,5</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2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0,5-0,2</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05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0,2 и менее</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5700" w:type="dxa"/>
            <w:tcBorders>
              <w:top w:val="single" w:sz="6" w:space="0" w:color="DDE1E6"/>
              <w:left w:val="nil"/>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Здания и сооружения для хранения средств пожаротушения</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9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0,5</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2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0,4</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05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0,35</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5700" w:type="dxa"/>
            <w:tcBorders>
              <w:top w:val="single" w:sz="6" w:space="0" w:color="DDE1E6"/>
              <w:left w:val="nil"/>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Площадки для мусоросборников</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9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0,1</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2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0,1</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05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0,1</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5700" w:type="dxa"/>
            <w:tcBorders>
              <w:top w:val="single" w:sz="6" w:space="0" w:color="DDE1E6"/>
              <w:left w:val="nil"/>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Площадка для стоянки автомобилей при въезде на территорию садоводческого объединения</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9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0,9</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2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0,9-0,4</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05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0,4 и менее</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8850" w:type="dxa"/>
            <w:gridSpan w:val="4"/>
            <w:tcBorders>
              <w:top w:val="single" w:sz="6" w:space="0" w:color="DDE1E6"/>
              <w:left w:val="nil"/>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Примечание - Типы и размеры зданий и сооружений для хранения средств пожаротушения определяются по согласованию с органами Государственной противопожарной службы. Помещение для хранения переносной мотопомпы и противопожарного инвентаря должно иметь площадь не менее 10 м и несгораемые стены.</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bl>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5.5* При въезде на территорию общего пользования садоводческого (дачного) объединения предусматривается сторожка, состав и площади помещений которой устанавливаются уставом садоводческого (дачного) объединения.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5.6*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5.7* На территории садоводческого (дачного) объединения ширина улиц и проездов в красных линиях должна быть,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для улиц - не менее 15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для проездов - не менее 9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Минимальный радиус закругления края проезжей части - 6,0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Ширина проезжей части улиц и проездов принимается для улиц - не менее 7,0 м, для проездов - не менее 3,5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5.8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Максимальная протяженность тупикового проезда согласно требованиям СНиП 2.07.01 и НПБ 106 не должна превышать 150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Тупиковые проезды обеспечиваются разворотными площадками размером не менее 12х12 м. Использование разворотной площадки для стоянки автомобилей не допускается.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5.9* Для обеспечения пожаротушения на территории общего пользования садоводческого (дачного) объединения должны предусматриваться противопожарные водоемы или резервуары вместимостью, м, при числе участков: до 300 - не менее 25, более 300 - не менее 60 (каждый с площадками для установки пожарной техники, с возможностью забора воды насосами и организацией подъезда не менее двух пожарных автомобилей).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Количество водоемов (резервуаров) и их расположение определяется требованиями СНиП 2.04.02.</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Садоводческие (дачные) объединения, включающие до 300 садовых участков, в противопожарных целях должны иметь переносную мотопомпу, при числе участков от 301 до 1000 - прицепную мотопомпу; при числе участков более 1000 - не менее двух прицепных мотопомп.</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Для хранения мотопомп обязательно строительство специального помещения.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5.10* Здания и сооружения общего пользования должны отстоять от границ садовых (дачных) участков не менее чем на 4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5.11 * На территории садоводческих (дачных) объединений и за ее пределами запрещается организовывать свалки отходов. Бытовые отходы, как правило, должны утилизироваться на садовых (дачных) участках. Для неутилизируемых отходов (стекло, металл, полиэтилен и др.) на территории общего пользования должны быть предусмотрены площадки контейнеров для мусора.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Площадки для мусорных контейнеров размещаются на расстоянии не менее 20 и не более 100 м от границ участков.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5.13* При организации на территории общего пользования склада минеральных удобрений и химикатов следует учитывать, что хранение их запрещается под открытым небом, а также вблизи открытых водоемов и водозаборных скважин.</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lastRenderedPageBreak/>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6 ПЛАНИРОВКА И ЗАСТРОЙКА САДОВЫХ (ДАЧНЫХ) УЧАСТКОВ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6.1* Площадь индивидуального садового (дачного) участка принимается не менее 0,06 га.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6.2* Индивидуальные садовые (дачные) участки, как правило, должны быть огорожены. Ограждения с целью минимального затенения территории соседних участков должны быть сетчатые или решетчатые высотой 1,5 м. Допускается по решению общего собрания членов садоводческого (дачного) объединения устройство глухих ограждений со стороны улиц и проездов.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6.3* На садовом (дачном) участке следует предусматривать устройство компостной площадки, ямы или ящика, а при отсутствии канализации - и уборной.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6.4* На садовом (дачном) участке могут возводиться жилое строение (или дом), хозяйственные постройки и сооружения, в том числе - постройки для содержания мелкого скота и птицы, теплицы и другие сооружения с утепленным грунтом, хозпостройка для хранения инвентаря, летняя кухня, баня (сауна), душ, навес или гараж для автомобиля.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В регионах возможно возведение типов хозяйственных построек, определенных местными традициями и условиями обустройства. Строительство указанных объектов должно осуществляться по соответствующим проектам.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6.5* Противопожарные расстояния между строениями и сооружениями в пределах одного участка не нормируются.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Противопожарные расстояния между жилыми строениями (или домами), расположенными на соседних участках, в зависимости от материала несущих и ограждающих конструкций должны быть не менее указанных в таблице 2*.</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Допускается группировать и блокировать жилые строения (или дома) на двух соседних участках при однорядной застройке и на четырех соседних участках при двухрядной застройке.</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При этом противопожарные расстояния между жилыми строениями (или домами) в каждой группе не нормируются, а минимальные расстояния между крайними жилыми строениями (или домами) групп принимаются по таблице 2*.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Таблица 2* - Минимальные противопожарные расстояния между крайними жилыми строениями (или домами) и группами жилых строений (или домов) на участках</w:t>
      </w:r>
    </w:p>
    <w:p w:rsidR="0061002F" w:rsidRPr="0061002F" w:rsidRDefault="0061002F" w:rsidP="0061002F">
      <w:pPr>
        <w:spacing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tbl>
      <w:tblPr>
        <w:tblW w:w="12000" w:type="dxa"/>
        <w:tblBorders>
          <w:left w:val="single" w:sz="6" w:space="0" w:color="DDE1E6"/>
        </w:tblBorders>
        <w:tblCellMar>
          <w:left w:w="0" w:type="dxa"/>
          <w:right w:w="0" w:type="dxa"/>
        </w:tblCellMar>
        <w:tblLook w:val="04A0" w:firstRow="1" w:lastRow="0" w:firstColumn="1" w:lastColumn="0" w:noHBand="0" w:noVBand="1"/>
      </w:tblPr>
      <w:tblGrid>
        <w:gridCol w:w="667"/>
        <w:gridCol w:w="8969"/>
        <w:gridCol w:w="734"/>
        <w:gridCol w:w="815"/>
        <w:gridCol w:w="815"/>
      </w:tblGrid>
      <w:tr w:rsidR="0061002F" w:rsidRPr="0061002F" w:rsidTr="0061002F">
        <w:tc>
          <w:tcPr>
            <w:tcW w:w="450" w:type="dxa"/>
            <w:tcBorders>
              <w:top w:val="single" w:sz="6" w:space="0" w:color="DDE1E6"/>
              <w:left w:val="nil"/>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45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450" w:type="dxa"/>
            <w:tcBorders>
              <w:top w:val="single" w:sz="6" w:space="0" w:color="DDE1E6"/>
              <w:left w:val="nil"/>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6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Материал несущих и ограждающих конструкций строения</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1650" w:type="dxa"/>
            <w:gridSpan w:val="3"/>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Расстояния, м</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450" w:type="dxa"/>
            <w:tcBorders>
              <w:top w:val="single" w:sz="6" w:space="0" w:color="DDE1E6"/>
              <w:left w:val="nil"/>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45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А</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Б</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В</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450" w:type="dxa"/>
            <w:tcBorders>
              <w:top w:val="single" w:sz="6" w:space="0" w:color="DDE1E6"/>
              <w:left w:val="nil"/>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А</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6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Камень, бетон, железобетон и другие негорючие материалы</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45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6</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8</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10</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r w:rsidR="0061002F" w:rsidRPr="0061002F" w:rsidTr="0061002F">
        <w:tc>
          <w:tcPr>
            <w:tcW w:w="450" w:type="dxa"/>
            <w:tcBorders>
              <w:top w:val="single" w:sz="6" w:space="0" w:color="DDE1E6"/>
              <w:left w:val="nil"/>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Б</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 </w:t>
            </w:r>
          </w:p>
        </w:tc>
        <w:tc>
          <w:tcPr>
            <w:tcW w:w="6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То же, с деревянными перекрытиями и покрытиями, защищенными негорючими и трудногорючими материалами</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45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8</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 </w:t>
            </w:r>
          </w:p>
        </w:tc>
        <w:tc>
          <w:tcPr>
            <w:tcW w:w="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8</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 </w:t>
            </w:r>
          </w:p>
        </w:tc>
        <w:tc>
          <w:tcPr>
            <w:tcW w:w="600" w:type="dxa"/>
            <w:tcBorders>
              <w:top w:val="single" w:sz="6" w:space="0" w:color="DDE1E6"/>
              <w:left w:val="single" w:sz="6" w:space="0" w:color="DDE1E6"/>
              <w:bottom w:val="single" w:sz="6" w:space="0" w:color="DDE1E6"/>
              <w:right w:val="single" w:sz="6" w:space="0" w:color="DDE1E6"/>
            </w:tcBorders>
            <w:shd w:val="clear" w:color="auto" w:fill="F7F7F8"/>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10</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 </w:t>
            </w:r>
          </w:p>
        </w:tc>
      </w:tr>
      <w:tr w:rsidR="0061002F" w:rsidRPr="0061002F" w:rsidTr="0061002F">
        <w:tc>
          <w:tcPr>
            <w:tcW w:w="450" w:type="dxa"/>
            <w:tcBorders>
              <w:top w:val="single" w:sz="6" w:space="0" w:color="DDE1E6"/>
              <w:left w:val="nil"/>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lastRenderedPageBreak/>
              <w:t>В</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6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Древесина, каркасные ограждающие конструкции из негорючих, трудногорючих и горючих материалов</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45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10</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10</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c>
          <w:tcPr>
            <w:tcW w:w="600" w:type="dxa"/>
            <w:tcBorders>
              <w:top w:val="single" w:sz="6" w:space="0" w:color="DDE1E6"/>
              <w:left w:val="single" w:sz="6" w:space="0" w:color="DDE1E6"/>
              <w:bottom w:val="single" w:sz="6" w:space="0" w:color="DDE1E6"/>
              <w:right w:val="single" w:sz="6" w:space="0" w:color="DDE1E6"/>
            </w:tcBorders>
            <w:shd w:val="clear" w:color="auto" w:fill="auto"/>
            <w:tcMar>
              <w:top w:w="180" w:type="dxa"/>
              <w:left w:w="180" w:type="dxa"/>
              <w:bottom w:w="180" w:type="dxa"/>
              <w:right w:w="180" w:type="dxa"/>
            </w:tcMar>
            <w:vAlign w:val="bottom"/>
            <w:hideMark/>
          </w:tcPr>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15</w:t>
            </w:r>
          </w:p>
          <w:p w:rsidR="0061002F" w:rsidRPr="0061002F" w:rsidRDefault="0061002F" w:rsidP="0061002F">
            <w:pPr>
              <w:spacing w:after="0" w:line="240" w:lineRule="auto"/>
              <w:jc w:val="center"/>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p w:rsidR="0061002F" w:rsidRPr="0061002F" w:rsidRDefault="0061002F" w:rsidP="0061002F">
            <w:pPr>
              <w:spacing w:after="0" w:line="240" w:lineRule="auto"/>
              <w:textAlignment w:val="baseline"/>
              <w:rPr>
                <w:rFonts w:ascii="inherit" w:eastAsia="Times New Roman" w:hAnsi="inherit" w:cs="Times New Roman"/>
                <w:sz w:val="18"/>
                <w:szCs w:val="18"/>
                <w:lang w:eastAsia="ru-RU"/>
              </w:rPr>
            </w:pPr>
            <w:r w:rsidRPr="0061002F">
              <w:rPr>
                <w:rFonts w:ascii="inherit" w:eastAsia="Times New Roman" w:hAnsi="inherit" w:cs="Times New Roman"/>
                <w:sz w:val="18"/>
                <w:szCs w:val="18"/>
                <w:lang w:eastAsia="ru-RU"/>
              </w:rPr>
              <w:t> </w:t>
            </w:r>
          </w:p>
        </w:tc>
      </w:tr>
    </w:tbl>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6.6* Жилое строение (или дом) должно отстоять от красной линии улиц не менее чем на 5 м, от красной линии проездов не менее чем на 3 м. При этом между домами, расположенными на противоположных сторонах проезда, должны быть учтены противопожарные расстояния, указанные в таблице 2*. Расстояние от хозяйственных построек до красных линий улиц и проездов должно быть не менее 5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6.7* Минимальные расстояния до границы соседнего участка по санитарно-бытовым условиям должны быть:</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от жилого строения (или дома) - 3;</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от постройки для содержания мелкого скота и птицы - 4;</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от других построек -1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от стволов высокорослых деревьев - 4 м, среднерослых - 2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от кустарника - 1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6.8* Минимальные расстояния между постройками по санитарно-бытовым условиям должны быть,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от жилого строения (или дома) и погреба до уборной и постройки для содержания мелкого скота и птицы - 12;</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до душа, бани (сауны) - 8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от колодца до уборной и компостного устройства - 8.</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6.9*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В этих случаях расстояние до границы с соседним участком измеряется отдельно от каждого объекта блокировки, например:</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дом-гараж (от дома не менее 3 м, от гаража не менее 1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дом-постройка для скота и птицы (от дома не менее 3 м, от постройки для скота и птицы не менее 4 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6.10 Гаражи для автомобилей могут быть отдельно стоящими, встроенными или пристроенными к дому и хозяйственным постройкам.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6.11* Члены садоводческих (дачных) объединений, имеющие на своем участке мелкий скот и птицу, должны соблюдать санитарные и ветеринарные правила по их содержанию.</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6.12* Инсоляция жилых помещений жилых строений (домов) на садовых (дачных) участках должна обеспечивать собственную непрерывную продолжительность на период с 22 марта по 22 сентября - 2,5 ч или суммарную 3-часовую, допускающую одноразовую прерывистость в течение дня.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6.13. При освоении садового (дачного) участка площадью 0,06-0,12 га под строения, дорожки и площадки следует отводить не более 25-30% площади.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7 ОБЪЕМНО-ПЛАНИРОВОЧНЫЕ И КОНСТРУКТИВНЫЕ РЕШЕНИЯ ЗДАНИЙ И СООРУЖЕНИЙ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7.1* Жилые строения (или дома) проектируются (возводятся) с различной объемно-планировочной структурой.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7.2* Под жилым строением (или домом) и хозяйственными постройками допускается устройство подвала и погреба. Под помещениями для мелкого скота и птицы устройство погреба не допускается.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7.3 Высота жилых помещений принимается от пола до потолка не менее 2,2 м. Высоту хозяйственных помещений, в том числе расположенных в подвале, следует принимать не менее 2 м, высоту погреба - не менее 1,6 м до низа выступающих конструкций (балок, прогонов).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При проектировании домов для круглогодичного проживания следует учитывать требования СНиП 2.08.01 и СНиП II-3.</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7.4* Лестницы, ведущие на второй этаж (в том числе на мансарду), располагаются как внутри, так и снаружи жилых строений (или домов). Параметры указанных лестниц, а также лестниц, ведущих в подвальные и цокольные этажи, принимаются в зависимости от конкретных условий и, как правило, с учетом требований СНиП 2.08.01.</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7.5 Не допускается организация стока дождевой воды с крыш на соседний участок.</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8 ИНЖЕНЕРНОЕ ОБУСТРОЙСТВО</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8.1* Территория садоводческого (дачного) объединения должна быть оборудована системой водоснабжения, отвечающей требованиям СНиП 2.04.02.</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Снабжение хозяйственно-питьевой водой может производиться как от централизованной системы водоснабжения, так и автономно - от шахтных и мелкотрубчатых колодцев, каптажей родников с соблюдением требований, изложенных в СанПиН 2.1.4.027.</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Устройство ввода водопровода в дома согласно СНиП 2.04.01 допускается при наличии местной канализации или при подключении к централизованной системе канализации.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Свободный напор воды в сети водопровода на территории садоводческого объединения должен быть не менее 0,1 МПа.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8.2*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санитарно-защитная зона: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для артезианских скважин - радиусом от 30 до 50 м (устанавливается гидрогеологами);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для родников и колодцев - в соответствии с действующими санитарными правилами и нормами СанПиН 2.1.4.027.</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8.3* При централизованных системах водоснабжения качество воды, подаваемой на хозяйственно-питьевые нужды, должно соответствовать санитарным правилам и нормам СанПиН 2.1.4.559-96. При нецентрализованном водоснабжении гигиенические требования к качеству питьевой воды должны соответствовать требованиям СанПиН 2.1.4.544-96.</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8.4* Расчет систем водоснабжения производится исходя из следующих норм среднесуточного водопотребления на хозяйственно-питьевые нужды:</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при водопользовании из водоразборных колонок, скважин, шахтных колодцев - 30-50 л/сут на 1 жителя;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при обеспечении внутренним водопроводом и канализацией (без ванн) - 125-160 л/сут на 1 жителя.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Для полива посадок на приусадебных участках:</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овощных культур - 3-15 л/м в сутки;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xml:space="preserve">плодовых деревьев - 10-15 л/м в сутки (полив предусматривается 1-2 раза в сутки в зависимости от климатических условий из водопроводной сети </w:t>
      </w:r>
      <w:r w:rsidRPr="0061002F">
        <w:rPr>
          <w:rFonts w:ascii="Arial" w:eastAsia="Times New Roman" w:hAnsi="Arial" w:cs="Arial"/>
          <w:color w:val="3B4256"/>
          <w:sz w:val="26"/>
          <w:szCs w:val="26"/>
          <w:lang w:eastAsia="ru-RU"/>
        </w:rPr>
        <w:lastRenderedPageBreak/>
        <w:t>сезонного действия или из открытых водоемов и специально предусмотренных котлованов - накопителей воды).</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8.5* Территории садоводческих (дачных) объединений должны быть обеспечены противопожарным водоснабжением путем подключения к наружным водопроводным сетям либо путем устройства противопожарных водоемов или резервуаров.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На наружных водопроводных сетях через каждые 100 м следует устанавливать соединительные головки для забора воды пожарными машинами.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Водонапорные башни, расположенные на территории садоводческих (дачных) объединений, должны быть оборудованы устройствами (соединительными головками и т.п.) для забора воды пожарными машинами.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По согласованию с органами государственной противопожарной службы допускается для целей пожаротушения использовать естественные источники, расположенные на расстоянии не более 200 м от территорий садоводческих (дачных) объединений.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Расход воды для пожаротушения следует принимать 5 л/с.</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8.6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СНиП 2.04.03.</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8.7 При неканализованном удалении фекалий надлежит обеспечивать устройства с местным компостированием - пудр-клозеты, биотуалеты. Допускается использование выгребных устройств типа люфт-клозет и надворная уборная.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Применение выгребных устройств должно быть согласовано в каждом отдельном случае на стадии разработки проекта с местными органами охраны природы по регулированию, использованию и охране подземных вод, с учреждениями санитарно-эпидемиологической службы. Не допускается устройство люфт-клозетов в IV климатическом районе и III Б подрайоне.</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8.8 Сбор и обработку стоков душа, бани, сауны и хозяйственных сточных вод следует производить в фильтровальной траншее с гравийно-песчаной засыпкой или в других очистных сооружениях, расположенных на расстоянии не ближе 4 м от границы соседнего участка.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Допускается хозяйственные сточные воды сбрасывать в наружный кювет по специально организованной канаве при согласовании в каждом отдельном случае с органами санэпиднадзора.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8.9 В отапливаемых домах обогрев и горячее водоснабжение следует предусматривать от автономных систем, к которым относятся: источники теплоснабжения (котел, печь и др., при устройстве печей и каминов следует выполнять требования СНиП 2.04.05), а также нагревательные приборы и водоразборная арматура.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8.10 Газоснабжение домов может быть от газобаллонных установок сжиженного газа, от резервуарных установок со сжиженным газом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"Правил безопасности в газовом хозяйстве" и СНиП 2.04.08.</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8.11* Баллоны со сжиженным газом следует хранить на промежуточном складе газовых баллонов, расположенном на территории общего пользования. Хранение баллонов на садовых (дачных) участках не допускается.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8.12 Баллоны емкостью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не ближе 5 м от входа в здание. На кухне согласно требованиям НПБ 106 допускается устанавливать баллон с горючим газом емкостью не более 12 л.</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8.13* Сети электроснабжения на территории садоводческого (дачного) объединения следует предусматривать, как правило, воздушными линиями. Запрещается проведение воздушных линий непосредственно над участками, кроме индивидуальной подводки.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8.14 Электрооборудование и молниезащиту домов и хозяйственных построек следует проектировать в соответствии с требованиями Правил устройства электроустановок (ПУЭ), РД 34.21.122, ВСН 59 и НПБ 106.</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8.15* В жилом строении (доме) следует предусматривать установку счетчика для учета потребляемой электроэнергии.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8.16* На улицах и проездах территории садоводческого (дачного) объединения следует предусматривать наружное освещение, управление которым осуществляется, как правило, из сторожки.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8.17 Помещение сторожки должно быть обеспечено телефонной или радиосвязью с ближайшим населенным пунктом, позволяющей осуществлять вызов неотложной медицинской помощи, пожарной, милицейской и аварийных служб.</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ПРИЛОЖЕНИЕ А*</w:t>
      </w:r>
    </w:p>
    <w:p w:rsidR="0061002F" w:rsidRPr="0061002F" w:rsidRDefault="0061002F" w:rsidP="0061002F">
      <w:pPr>
        <w:spacing w:after="300" w:line="383" w:lineRule="atLeast"/>
        <w:jc w:val="center"/>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(обязательное)</w:t>
      </w:r>
    </w:p>
    <w:p w:rsidR="0061002F" w:rsidRPr="0061002F" w:rsidRDefault="0061002F" w:rsidP="0061002F">
      <w:pPr>
        <w:spacing w:after="0" w:line="383" w:lineRule="atLeast"/>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w:t>
      </w:r>
    </w:p>
    <w:p w:rsidR="0061002F" w:rsidRPr="0061002F" w:rsidRDefault="0061002F" w:rsidP="0061002F">
      <w:pPr>
        <w:spacing w:after="0" w:line="383" w:lineRule="atLeast"/>
        <w:jc w:val="center"/>
        <w:textAlignment w:val="baseline"/>
        <w:rPr>
          <w:rFonts w:ascii="Arial" w:eastAsia="Times New Roman" w:hAnsi="Arial" w:cs="Arial"/>
          <w:color w:val="3B4256"/>
          <w:sz w:val="26"/>
          <w:szCs w:val="26"/>
          <w:lang w:eastAsia="ru-RU"/>
        </w:rPr>
      </w:pPr>
      <w:r w:rsidRPr="0061002F">
        <w:rPr>
          <w:rFonts w:ascii="inherit" w:eastAsia="Times New Roman" w:hAnsi="inherit" w:cs="Arial"/>
          <w:b/>
          <w:bCs/>
          <w:color w:val="3B4256"/>
          <w:sz w:val="26"/>
          <w:szCs w:val="26"/>
          <w:bdr w:val="none" w:sz="0" w:space="0" w:color="auto" w:frame="1"/>
          <w:lang w:eastAsia="ru-RU"/>
        </w:rPr>
        <w:t> ТЕРМИНЫ И ОПРЕДЕЛЕНИЯ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Биотуалет - устройство для переработки фекальных отходов в органическое удобрение путем использования биологического процесса окисления, активизированного электроподогревом или химическими добавками.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Веранда - застекленное неотапливаемое помещение, пристроенное к дому или встроенное в него.</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Жилое строение - дом, возводимый на садовом (дачном) земельном участке, без права регистрации проживания в нем.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Жилой дом - дом, возводимый на садовом (дачном) земельном участке, с правом регистрации проживания в нем.</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Жилая площадь жилого строения (или дома) - сумма площадей жилых комнат.</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Каптаж - сооружение (каменная наброска, колодец, траншея) для перехвата и сбора подземных вод в местах их вывода на поверхность.</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Красные линии - границы улиц, проездов по линиям ограждений садово-дачных участков.</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Крыльцо - наружная пристройка при входе в дом с площадкой и лестницей.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Люфт-клозет - внутридомовая теплая уборная с подземным выгребом, в который фекалии поступают через сточную (фановую) трубу. Вентиляция осуществляется через специальный люфт-канал, примыкающий к обогревательным устройствам, а выгребной люк располагается снаружи.</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Надворная уборная - легкая постройка, размещаемая над выгребной ямой.</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Общая площадь жилого строения (или дома) - сумма площадей его помещений, встроенных шкафов, а также лоджий, балконов, веранд, террас и холодных кладовых, подсчитываемых со следующими понижающими коэффициентами: для лоджий - 0,5, для балконов и террас - 0,3, для веранд и холодных кладовых - 1,0.</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Площадь, занимаемая печью, в площадь помещений не включается. Площадь под маршем внутриквартирной лестницы при высоте от пола до низа выступающих конструкций 1,6 м и более включается в площадь помещений, где расположена лестница.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Проезд - территория, предназначенная для движения транспорта и пешеходов, включающая однополосную проезжую часть, обочины, кюветы и укрепляющие бермы.</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Пудр-клозет - туалет, в котором фекальные отходы подвергаются обработке порошкообразным составом, как правило, торфом и содержатся в сухом виде, в изолированной емкости (осмоленный ящик с крышкой) до образования компоста.</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Садоводческое (дачное) объединение граждан - юридическая форма добровольной организации граждан для ведения садоводства, огородничества и отдыха в индивидуальном (семейном) порядке, с сооружениями и строениями как сезонного, так и круглогодичного использования, создаваемая и управляемая в соответствии с действующими федеральным и региональным законодательствами и актами местного самоуправления.</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lastRenderedPageBreak/>
        <w:t>Терраса - огражденная открытая площадка, пристроенная к дому, размещаемая на земле или над нижерасположенным этажом и, как правило, имеющая крышу.</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Улица - территория, предназначенная для движения транспорта и пешеходов, включающая двухполосную проезжую часть, обочины, кюветы и укрепляющие бермы.</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Текст документа сверен по:</w:t>
      </w:r>
    </w:p>
    <w:p w:rsidR="0061002F" w:rsidRPr="0061002F" w:rsidRDefault="0061002F" w:rsidP="0061002F">
      <w:pPr>
        <w:spacing w:after="300"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официальное издание</w:t>
      </w:r>
    </w:p>
    <w:p w:rsidR="0061002F" w:rsidRPr="0061002F" w:rsidRDefault="0061002F" w:rsidP="0061002F">
      <w:pPr>
        <w:spacing w:line="383" w:lineRule="atLeast"/>
        <w:textAlignment w:val="baseline"/>
        <w:rPr>
          <w:rFonts w:ascii="Arial" w:eastAsia="Times New Roman" w:hAnsi="Arial" w:cs="Arial"/>
          <w:color w:val="3B4256"/>
          <w:sz w:val="26"/>
          <w:szCs w:val="26"/>
          <w:lang w:eastAsia="ru-RU"/>
        </w:rPr>
      </w:pPr>
      <w:r w:rsidRPr="0061002F">
        <w:rPr>
          <w:rFonts w:ascii="Arial" w:eastAsia="Times New Roman" w:hAnsi="Arial" w:cs="Arial"/>
          <w:color w:val="3B4256"/>
          <w:sz w:val="26"/>
          <w:szCs w:val="26"/>
          <w:lang w:eastAsia="ru-RU"/>
        </w:rPr>
        <w:t> Госстрой России, ЦНИИЭПгражданстрой, с Изм. N 1 - М.: ГУП ЦПП, 2001</w:t>
      </w:r>
    </w:p>
    <w:p w:rsidR="00690030" w:rsidRDefault="00690030">
      <w:bookmarkStart w:id="0" w:name="_GoBack"/>
      <w:bookmarkEnd w:id="0"/>
    </w:p>
    <w:sectPr w:rsidR="00690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2F"/>
    <w:rsid w:val="0061002F"/>
    <w:rsid w:val="00690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53286-7081-4010-843E-74AA6584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92192">
      <w:bodyDiv w:val="1"/>
      <w:marLeft w:val="0"/>
      <w:marRight w:val="0"/>
      <w:marTop w:val="0"/>
      <w:marBottom w:val="0"/>
      <w:divBdr>
        <w:top w:val="none" w:sz="0" w:space="0" w:color="auto"/>
        <w:left w:val="none" w:sz="0" w:space="0" w:color="auto"/>
        <w:bottom w:val="none" w:sz="0" w:space="0" w:color="auto"/>
        <w:right w:val="none" w:sz="0" w:space="0" w:color="auto"/>
      </w:divBdr>
      <w:divsChild>
        <w:div w:id="796030610">
          <w:marLeft w:val="0"/>
          <w:marRight w:val="0"/>
          <w:marTop w:val="0"/>
          <w:marBottom w:val="300"/>
          <w:divBdr>
            <w:top w:val="none" w:sz="0" w:space="0" w:color="auto"/>
            <w:left w:val="none" w:sz="0" w:space="0" w:color="auto"/>
            <w:bottom w:val="none" w:sz="0" w:space="0" w:color="auto"/>
            <w:right w:val="none" w:sz="0" w:space="0" w:color="auto"/>
          </w:divBdr>
          <w:divsChild>
            <w:div w:id="1020663849">
              <w:marLeft w:val="0"/>
              <w:marRight w:val="0"/>
              <w:marTop w:val="0"/>
              <w:marBottom w:val="0"/>
              <w:divBdr>
                <w:top w:val="none" w:sz="0" w:space="0" w:color="auto"/>
                <w:left w:val="none" w:sz="0" w:space="0" w:color="auto"/>
                <w:bottom w:val="none" w:sz="0" w:space="0" w:color="auto"/>
                <w:right w:val="none" w:sz="0" w:space="0" w:color="auto"/>
              </w:divBdr>
            </w:div>
            <w:div w:id="14196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4341</Words>
  <Characters>24747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2024-07-21T10:17:00Z</dcterms:created>
  <dcterms:modified xsi:type="dcterms:W3CDTF">2024-07-21T10:17:00Z</dcterms:modified>
</cp:coreProperties>
</file>